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70" w:rsidRDefault="00783470" w:rsidP="007834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5BF1130" wp14:editId="6E034B88">
            <wp:extent cx="5760720" cy="74848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470" w:rsidRPr="006619F9" w:rsidRDefault="00DC45C0" w:rsidP="006619F9">
      <w:pPr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sz w:val="18"/>
          <w:szCs w:val="18"/>
        </w:rPr>
        <w:t>projekt nr FAMI.03.01-IZ.00-0003/24</w:t>
      </w:r>
    </w:p>
    <w:p w:rsidR="00AA7FFA" w:rsidRPr="00783470" w:rsidRDefault="00AA7FFA" w:rsidP="00783470">
      <w:pPr>
        <w:jc w:val="right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>Załącznik nr 1</w:t>
      </w:r>
    </w:p>
    <w:p w:rsidR="005C6F6D" w:rsidRPr="00783470" w:rsidRDefault="005C6F6D" w:rsidP="005C6F6D">
      <w:pPr>
        <w:jc w:val="center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OPIS PRZEDMIOTU ZAMÓWIENIA</w:t>
      </w:r>
    </w:p>
    <w:p w:rsidR="007051C8" w:rsidRPr="009B28F6" w:rsidRDefault="005C6F6D" w:rsidP="009B28F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sz w:val="20"/>
          <w:szCs w:val="20"/>
        </w:rPr>
        <w:t xml:space="preserve">Przedmiot zamówienia </w:t>
      </w:r>
      <w:r w:rsidR="00DB45D2" w:rsidRPr="00783470">
        <w:rPr>
          <w:rFonts w:ascii="Arial" w:hAnsi="Arial" w:cs="Arial"/>
          <w:sz w:val="20"/>
          <w:szCs w:val="20"/>
        </w:rPr>
        <w:t xml:space="preserve">publicznego dotyczącego wykonania usługi </w:t>
      </w:r>
      <w:r w:rsidR="00A17971" w:rsidRPr="00783470">
        <w:rPr>
          <w:rFonts w:ascii="Arial" w:hAnsi="Arial" w:cs="Arial"/>
          <w:sz w:val="20"/>
          <w:szCs w:val="20"/>
        </w:rPr>
        <w:t xml:space="preserve">w zakresie przeprowadzenia </w:t>
      </w:r>
      <w:r w:rsidR="009B28F6" w:rsidRPr="009B28F6">
        <w:rPr>
          <w:rFonts w:ascii="Arial" w:hAnsi="Arial" w:cs="Arial"/>
          <w:sz w:val="20"/>
          <w:szCs w:val="20"/>
        </w:rPr>
        <w:t>zajęć w t</w:t>
      </w:r>
      <w:r w:rsidR="009B28F6">
        <w:rPr>
          <w:rFonts w:ascii="Arial" w:hAnsi="Arial" w:cs="Arial"/>
          <w:sz w:val="20"/>
          <w:szCs w:val="20"/>
        </w:rPr>
        <w:t xml:space="preserve">rakcie warsztatów szkoleniowych </w:t>
      </w:r>
      <w:r w:rsidR="009B28F6" w:rsidRPr="009B28F6">
        <w:rPr>
          <w:rFonts w:ascii="Arial" w:hAnsi="Arial" w:cs="Arial"/>
          <w:sz w:val="20"/>
          <w:szCs w:val="20"/>
        </w:rPr>
        <w:t>pt. „Weryfikacja aktów, decyzji i postanowień administracyjnych w drodze trybów nadzwyczajnych”.</w:t>
      </w:r>
    </w:p>
    <w:p w:rsidR="0029698D" w:rsidRPr="00783470" w:rsidRDefault="00B37E57" w:rsidP="007051C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Warsztat</w:t>
      </w:r>
      <w:r w:rsidR="009B28F6">
        <w:rPr>
          <w:rFonts w:ascii="Arial" w:hAnsi="Arial" w:cs="Arial"/>
          <w:sz w:val="20"/>
          <w:szCs w:val="20"/>
        </w:rPr>
        <w:t>y</w:t>
      </w:r>
      <w:r w:rsidR="007051C8" w:rsidRPr="00783470">
        <w:rPr>
          <w:rFonts w:ascii="Arial" w:hAnsi="Arial" w:cs="Arial"/>
          <w:sz w:val="20"/>
          <w:szCs w:val="20"/>
        </w:rPr>
        <w:t xml:space="preserve"> realizowan</w:t>
      </w:r>
      <w:r w:rsidR="009B28F6">
        <w:rPr>
          <w:rFonts w:ascii="Arial" w:hAnsi="Arial" w:cs="Arial"/>
          <w:sz w:val="20"/>
          <w:szCs w:val="20"/>
        </w:rPr>
        <w:t xml:space="preserve">e będą </w:t>
      </w:r>
      <w:r w:rsidR="007051C8" w:rsidRPr="00783470">
        <w:rPr>
          <w:rFonts w:ascii="Arial" w:hAnsi="Arial" w:cs="Arial"/>
          <w:sz w:val="20"/>
          <w:szCs w:val="20"/>
        </w:rPr>
        <w:t>z Funduszu Azylu Migracji i Integracji na lata 2021-2027 w obszarze programowym „Wzmocnienie kompetencji i kwalifikacji Straży Granicznej w obszarze powrotów” projekt nr FAMI.03.0-IZ.00-0003/24.</w:t>
      </w:r>
    </w:p>
    <w:p w:rsidR="007051C8" w:rsidRPr="00783470" w:rsidRDefault="007051C8" w:rsidP="007051C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C0584" w:rsidRPr="00783470" w:rsidRDefault="00026C0A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Termin</w:t>
      </w:r>
      <w:r w:rsidRPr="00783470">
        <w:rPr>
          <w:rFonts w:ascii="Arial" w:hAnsi="Arial" w:cs="Arial"/>
          <w:sz w:val="20"/>
          <w:szCs w:val="20"/>
        </w:rPr>
        <w:t xml:space="preserve">: </w:t>
      </w:r>
      <w:r w:rsidR="009B28F6">
        <w:rPr>
          <w:rFonts w:ascii="Arial" w:hAnsi="Arial" w:cs="Arial"/>
          <w:sz w:val="20"/>
          <w:szCs w:val="20"/>
        </w:rPr>
        <w:t>15 – 16.07.</w:t>
      </w:r>
      <w:r w:rsidR="00783470">
        <w:rPr>
          <w:rFonts w:ascii="Arial" w:hAnsi="Arial" w:cs="Arial"/>
          <w:sz w:val="20"/>
          <w:szCs w:val="20"/>
        </w:rPr>
        <w:t>2026</w:t>
      </w:r>
      <w:r w:rsidR="00B23438" w:rsidRPr="00783470">
        <w:rPr>
          <w:rFonts w:ascii="Arial" w:hAnsi="Arial" w:cs="Arial"/>
          <w:sz w:val="20"/>
          <w:szCs w:val="20"/>
        </w:rPr>
        <w:t xml:space="preserve"> r.</w:t>
      </w:r>
    </w:p>
    <w:p w:rsidR="00774D45" w:rsidRDefault="00026C0A" w:rsidP="00B37E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Czas:</w:t>
      </w:r>
      <w:r w:rsidR="00774D45">
        <w:rPr>
          <w:rFonts w:ascii="Arial" w:hAnsi="Arial" w:cs="Arial"/>
          <w:sz w:val="20"/>
          <w:szCs w:val="20"/>
        </w:rPr>
        <w:t xml:space="preserve"> </w:t>
      </w:r>
      <w:r w:rsidR="00B23438" w:rsidRPr="00783470">
        <w:rPr>
          <w:rFonts w:ascii="Arial" w:hAnsi="Arial" w:cs="Arial"/>
          <w:sz w:val="20"/>
          <w:szCs w:val="20"/>
        </w:rPr>
        <w:t>łącznie</w:t>
      </w:r>
      <w:r w:rsidR="00B37E57">
        <w:rPr>
          <w:rFonts w:ascii="Arial" w:hAnsi="Arial" w:cs="Arial"/>
          <w:sz w:val="20"/>
          <w:szCs w:val="20"/>
        </w:rPr>
        <w:t xml:space="preserve"> 1</w:t>
      </w:r>
      <w:r w:rsidR="009B28F6">
        <w:rPr>
          <w:rFonts w:ascii="Arial" w:hAnsi="Arial" w:cs="Arial"/>
          <w:sz w:val="20"/>
          <w:szCs w:val="20"/>
        </w:rPr>
        <w:t xml:space="preserve">2 </w:t>
      </w:r>
      <w:r w:rsidR="00B23438" w:rsidRPr="00783470">
        <w:rPr>
          <w:rFonts w:ascii="Arial" w:hAnsi="Arial" w:cs="Arial"/>
          <w:sz w:val="20"/>
          <w:szCs w:val="20"/>
        </w:rPr>
        <w:t>godzin dydaktycznych (godzina dydaktyczna to 45 minut) tj.:</w:t>
      </w:r>
      <w:r w:rsidR="00774D45">
        <w:rPr>
          <w:rFonts w:ascii="Arial" w:hAnsi="Arial" w:cs="Arial"/>
          <w:sz w:val="20"/>
          <w:szCs w:val="20"/>
        </w:rPr>
        <w:t xml:space="preserve"> </w:t>
      </w:r>
    </w:p>
    <w:p w:rsidR="009B28F6" w:rsidRDefault="009B28F6" w:rsidP="009B28F6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B28F6">
        <w:rPr>
          <w:rFonts w:ascii="Arial" w:hAnsi="Arial" w:cs="Arial"/>
          <w:sz w:val="20"/>
          <w:szCs w:val="20"/>
        </w:rPr>
        <w:t>15.07.2026 r. - w godz. 9.00 – 14.30 (6 godzin dydaktycznych z przerwami)</w:t>
      </w:r>
      <w:r>
        <w:rPr>
          <w:rFonts w:ascii="Arial" w:hAnsi="Arial" w:cs="Arial"/>
          <w:sz w:val="20"/>
          <w:szCs w:val="20"/>
        </w:rPr>
        <w:t>;</w:t>
      </w:r>
    </w:p>
    <w:p w:rsidR="009B28F6" w:rsidRPr="009B28F6" w:rsidRDefault="009B28F6" w:rsidP="009B28F6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B28F6">
        <w:rPr>
          <w:rFonts w:ascii="Arial" w:hAnsi="Arial" w:cs="Arial"/>
          <w:sz w:val="20"/>
          <w:szCs w:val="20"/>
        </w:rPr>
        <w:t>16.07.2026 r. - w godz. 9.00 – 14.30 (6 godziny dydaktyczne z przerwami)</w:t>
      </w:r>
      <w:r>
        <w:rPr>
          <w:rFonts w:ascii="Arial" w:hAnsi="Arial" w:cs="Arial"/>
          <w:sz w:val="20"/>
          <w:szCs w:val="20"/>
        </w:rPr>
        <w:t>.</w:t>
      </w:r>
    </w:p>
    <w:p w:rsidR="00B83660" w:rsidRPr="00B83660" w:rsidRDefault="005C6F6D" w:rsidP="009B28F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Mie</w:t>
      </w:r>
      <w:r w:rsidR="004F239B" w:rsidRPr="00783470">
        <w:rPr>
          <w:rFonts w:ascii="Arial" w:hAnsi="Arial" w:cs="Arial"/>
          <w:b/>
          <w:sz w:val="20"/>
          <w:szCs w:val="20"/>
        </w:rPr>
        <w:t xml:space="preserve">jsce realizacji: </w:t>
      </w:r>
      <w:r w:rsidR="00B83660" w:rsidRPr="00B83660">
        <w:rPr>
          <w:rFonts w:ascii="Arial" w:hAnsi="Arial" w:cs="Arial"/>
          <w:sz w:val="20"/>
          <w:szCs w:val="20"/>
        </w:rPr>
        <w:t>Ośrodek Szkoleń Specjalistycznych Straży Granicznej, Obiekt Szkoleniowy</w:t>
      </w:r>
    </w:p>
    <w:p w:rsidR="00026C0A" w:rsidRDefault="00B83660" w:rsidP="00B8366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83660">
        <w:rPr>
          <w:rFonts w:ascii="Arial" w:hAnsi="Arial" w:cs="Arial"/>
          <w:sz w:val="20"/>
          <w:szCs w:val="20"/>
        </w:rPr>
        <w:t>w Szklarskiej Porębie ul. Kołłątaja 4, 58-580 Szklarska Poręba.</w:t>
      </w:r>
    </w:p>
    <w:p w:rsidR="00B83660" w:rsidRPr="00783470" w:rsidRDefault="00B83660" w:rsidP="00B8366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80274" w:rsidRPr="00783470" w:rsidRDefault="005C6F6D" w:rsidP="004920C1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3470">
        <w:rPr>
          <w:rFonts w:ascii="Arial" w:hAnsi="Arial" w:cs="Arial"/>
          <w:b/>
          <w:sz w:val="20"/>
          <w:szCs w:val="20"/>
        </w:rPr>
        <w:t>Tematy i szczegółowe treści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849"/>
        <w:gridCol w:w="2830"/>
      </w:tblGrid>
      <w:tr w:rsidR="009B28F6" w:rsidRPr="00783470" w:rsidTr="009B28F6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 xml:space="preserve">Tryby nadzwyczajne postępowania administracyjnego </w:t>
            </w:r>
            <w:r w:rsidRPr="009B28F6">
              <w:rPr>
                <w:rFonts w:ascii="Arial" w:hAnsi="Arial" w:cs="Arial"/>
                <w:sz w:val="20"/>
                <w:szCs w:val="20"/>
              </w:rPr>
              <w:br/>
              <w:t>a zwyczajne środki zaskarżania.</w:t>
            </w:r>
          </w:p>
        </w:tc>
        <w:tc>
          <w:tcPr>
            <w:tcW w:w="2830" w:type="dxa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1 godz. dydaktyczna</w:t>
            </w:r>
          </w:p>
        </w:tc>
      </w:tr>
      <w:tr w:rsidR="009B28F6" w:rsidRPr="00783470" w:rsidTr="009B28F6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 xml:space="preserve">Zasada trwałości ostatecznych decyzji administracyjnych </w:t>
            </w:r>
            <w:r w:rsidRPr="009B28F6">
              <w:rPr>
                <w:rFonts w:ascii="Arial" w:hAnsi="Arial" w:cs="Arial"/>
                <w:sz w:val="20"/>
                <w:szCs w:val="20"/>
              </w:rPr>
              <w:br/>
              <w:t>i wyjątki od tej zasady w praktyce SG.</w:t>
            </w:r>
          </w:p>
        </w:tc>
        <w:tc>
          <w:tcPr>
            <w:tcW w:w="2830" w:type="dxa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1 godz. dydaktyczne</w:t>
            </w:r>
          </w:p>
        </w:tc>
      </w:tr>
      <w:tr w:rsidR="009B28F6" w:rsidRPr="00783470" w:rsidTr="009B28F6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Wznowienie postępowania administracyjnego – przesłanki, procedura, rodzaje decyzji po wznowieniu postępowania.</w:t>
            </w:r>
          </w:p>
        </w:tc>
        <w:tc>
          <w:tcPr>
            <w:tcW w:w="2830" w:type="dxa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2 godz. dydaktyczne</w:t>
            </w:r>
          </w:p>
        </w:tc>
      </w:tr>
      <w:tr w:rsidR="009B28F6" w:rsidRPr="00783470" w:rsidTr="009B28F6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9B28F6">
                <w:rPr>
                  <w:rFonts w:ascii="Arial" w:hAnsi="Arial" w:cs="Arial"/>
                  <w:sz w:val="20"/>
                  <w:szCs w:val="20"/>
                </w:rPr>
                <w:t>Stwierdzenie nieważności decyzji</w:t>
              </w:r>
            </w:hyperlink>
            <w:r w:rsidRPr="009B28F6">
              <w:rPr>
                <w:rFonts w:ascii="Arial" w:hAnsi="Arial" w:cs="Arial"/>
                <w:sz w:val="20"/>
                <w:szCs w:val="20"/>
              </w:rPr>
              <w:t xml:space="preserve"> – przyczyny, postępowanie przed organem wyższego stopnia.</w:t>
            </w:r>
          </w:p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 xml:space="preserve">Skutki stwierdzenia nieważności (ex </w:t>
            </w:r>
            <w:proofErr w:type="spellStart"/>
            <w:r w:rsidRPr="009B28F6">
              <w:rPr>
                <w:rFonts w:ascii="Arial" w:hAnsi="Arial" w:cs="Arial"/>
                <w:sz w:val="20"/>
                <w:szCs w:val="20"/>
              </w:rPr>
              <w:t>tunc</w:t>
            </w:r>
            <w:proofErr w:type="spellEnd"/>
            <w:r w:rsidRPr="009B28F6">
              <w:rPr>
                <w:rFonts w:ascii="Arial" w:hAnsi="Arial" w:cs="Arial"/>
                <w:sz w:val="20"/>
                <w:szCs w:val="20"/>
              </w:rPr>
              <w:t xml:space="preserve"> - od początku).</w:t>
            </w:r>
          </w:p>
        </w:tc>
        <w:tc>
          <w:tcPr>
            <w:tcW w:w="2830" w:type="dxa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2 godz. dydaktyczne</w:t>
            </w:r>
          </w:p>
        </w:tc>
      </w:tr>
      <w:tr w:rsidR="009B28F6" w:rsidRPr="00783470" w:rsidTr="009B28F6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Możliwości zmiany lub uchylenia decyzji ostatecznej – odmienność trybów art. 154 oraz 155 kpa.</w:t>
            </w:r>
          </w:p>
        </w:tc>
        <w:tc>
          <w:tcPr>
            <w:tcW w:w="2830" w:type="dxa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2 godz. dydaktyczne</w:t>
            </w:r>
          </w:p>
        </w:tc>
      </w:tr>
      <w:tr w:rsidR="009B28F6" w:rsidRPr="00783470" w:rsidTr="009B28F6">
        <w:trPr>
          <w:trHeight w:val="624"/>
        </w:trPr>
        <w:tc>
          <w:tcPr>
            <w:tcW w:w="383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 xml:space="preserve">Analiza wybranych orzeczeń w sprawach dot. </w:t>
            </w:r>
            <w:bookmarkStart w:id="0" w:name="_Hlk225841645"/>
            <w:r w:rsidRPr="009B28F6">
              <w:rPr>
                <w:rFonts w:ascii="Arial" w:hAnsi="Arial" w:cs="Arial"/>
                <w:sz w:val="20"/>
                <w:szCs w:val="20"/>
              </w:rPr>
              <w:t xml:space="preserve">sytuacji pobytowej cudzoziemców na terytorium RP </w:t>
            </w:r>
            <w:bookmarkEnd w:id="0"/>
            <w:r w:rsidRPr="009B28F6">
              <w:rPr>
                <w:rFonts w:ascii="Arial" w:hAnsi="Arial" w:cs="Arial"/>
                <w:sz w:val="20"/>
                <w:szCs w:val="20"/>
              </w:rPr>
              <w:t>w kontekście stosowania trybów nadzwyczajnych.</w:t>
            </w:r>
          </w:p>
        </w:tc>
        <w:tc>
          <w:tcPr>
            <w:tcW w:w="2830" w:type="dxa"/>
            <w:vAlign w:val="center"/>
          </w:tcPr>
          <w:p w:rsidR="009B28F6" w:rsidRPr="009B28F6" w:rsidRDefault="009B28F6" w:rsidP="009B28F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28F6">
              <w:rPr>
                <w:rFonts w:ascii="Arial" w:hAnsi="Arial" w:cs="Arial"/>
                <w:sz w:val="20"/>
                <w:szCs w:val="20"/>
              </w:rPr>
              <w:t>4 godz. dydaktyczne</w:t>
            </w:r>
          </w:p>
        </w:tc>
      </w:tr>
    </w:tbl>
    <w:p w:rsidR="006619F9" w:rsidRDefault="006619F9" w:rsidP="006619F9">
      <w:pPr>
        <w:tabs>
          <w:tab w:val="left" w:pos="40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9F9" w:rsidRPr="006619F9" w:rsidRDefault="006619F9" w:rsidP="006619F9">
      <w:p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Omawiany przez prelegenta materiał winien opierać się na przykładach rozstrzygnięć organów SG oraz orzeczeń sądów administracyjnych w przedmiocie sytuacji pobytowej cudzoziemców na terytorium RP i dotyczyć w szczególności treści oraz trybów zawartych w:</w:t>
      </w:r>
    </w:p>
    <w:p w:rsidR="006619F9" w:rsidRDefault="006619F9" w:rsidP="006619F9">
      <w:pPr>
        <w:pStyle w:val="Akapitzlist"/>
        <w:numPr>
          <w:ilvl w:val="0"/>
          <w:numId w:val="45"/>
        </w:num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Ustawie z dnia 14 czerwca 1960 r. Kodeks postępowania administracyjnego,</w:t>
      </w:r>
    </w:p>
    <w:p w:rsidR="006619F9" w:rsidRDefault="006619F9" w:rsidP="006619F9">
      <w:pPr>
        <w:pStyle w:val="Akapitzlist"/>
        <w:numPr>
          <w:ilvl w:val="0"/>
          <w:numId w:val="45"/>
        </w:num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Ustawie z dnia 30 sierpnia 2002 r. Prawo o postępowaniu przed sądami administracyjnymi,</w:t>
      </w:r>
    </w:p>
    <w:p w:rsidR="006619F9" w:rsidRDefault="006619F9" w:rsidP="006619F9">
      <w:pPr>
        <w:pStyle w:val="Akapitzlist"/>
        <w:numPr>
          <w:ilvl w:val="0"/>
          <w:numId w:val="45"/>
        </w:num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Ustawie z dnia 12 października 1990 r. o Straży Granicznej,</w:t>
      </w:r>
    </w:p>
    <w:p w:rsidR="006619F9" w:rsidRDefault="006619F9" w:rsidP="006619F9">
      <w:pPr>
        <w:pStyle w:val="Akapitzlist"/>
        <w:numPr>
          <w:ilvl w:val="0"/>
          <w:numId w:val="45"/>
        </w:num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Ustawie z dnia 12 grudnia 2013 r. o cudzoziemcach,</w:t>
      </w:r>
    </w:p>
    <w:p w:rsidR="006619F9" w:rsidRDefault="006619F9" w:rsidP="006619F9">
      <w:pPr>
        <w:pStyle w:val="Akapitzlist"/>
        <w:numPr>
          <w:ilvl w:val="0"/>
          <w:numId w:val="45"/>
        </w:num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Ustawę z dnia 13 czerwca 2003 r. o udzielaniu cudzoziemcom ochrony na terytorium Rzeczypospoli</w:t>
      </w:r>
      <w:bookmarkStart w:id="1" w:name="_GoBack"/>
      <w:bookmarkEnd w:id="1"/>
      <w:r w:rsidRPr="006619F9">
        <w:rPr>
          <w:rFonts w:ascii="Arial" w:hAnsi="Arial" w:cs="Arial"/>
          <w:sz w:val="20"/>
          <w:szCs w:val="20"/>
        </w:rPr>
        <w:t>tej Polskiej,</w:t>
      </w:r>
    </w:p>
    <w:p w:rsidR="006619F9" w:rsidRPr="006619F9" w:rsidRDefault="006619F9" w:rsidP="006619F9">
      <w:pPr>
        <w:pStyle w:val="Akapitzlist"/>
        <w:numPr>
          <w:ilvl w:val="0"/>
          <w:numId w:val="45"/>
        </w:numPr>
        <w:tabs>
          <w:tab w:val="left" w:pos="4005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Ustawa z dnia 14 lipca 2006 r. o wjeździe na terytorium Rzeczypospolitej Polskiej, pobycie oraz wyjeździe z tego terytorium obywateli państw członkowskich Unii Europejskiej i członków ich rodzin.</w:t>
      </w:r>
    </w:p>
    <w:p w:rsidR="006619F9" w:rsidRPr="006619F9" w:rsidRDefault="006619F9" w:rsidP="006619F9">
      <w:pPr>
        <w:tabs>
          <w:tab w:val="left" w:pos="400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619F9">
        <w:rPr>
          <w:rFonts w:ascii="Arial" w:hAnsi="Arial" w:cs="Arial"/>
          <w:sz w:val="20"/>
          <w:szCs w:val="20"/>
        </w:rPr>
        <w:t>Wykonawca będzie zobowiązany przedstawić powyższe treści w formie wykładu aktywnego wspieranego prezentacją multimedialną, ćwiczeniami lub przy wykorzystaniu innych własnych środków i metod dydaktycznych.</w:t>
      </w:r>
    </w:p>
    <w:sectPr w:rsidR="006619F9" w:rsidRPr="006619F9" w:rsidSect="000351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055"/>
    <w:multiLevelType w:val="hybridMultilevel"/>
    <w:tmpl w:val="E7983B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4D2"/>
    <w:multiLevelType w:val="hybridMultilevel"/>
    <w:tmpl w:val="F0FA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6F98"/>
    <w:multiLevelType w:val="hybridMultilevel"/>
    <w:tmpl w:val="3116AA22"/>
    <w:lvl w:ilvl="0" w:tplc="52261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2D6F"/>
    <w:multiLevelType w:val="hybridMultilevel"/>
    <w:tmpl w:val="473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C2210"/>
    <w:multiLevelType w:val="hybridMultilevel"/>
    <w:tmpl w:val="CFC2F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73FF9"/>
    <w:multiLevelType w:val="hybridMultilevel"/>
    <w:tmpl w:val="53F66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766"/>
    <w:multiLevelType w:val="hybridMultilevel"/>
    <w:tmpl w:val="BFF4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18F"/>
    <w:multiLevelType w:val="hybridMultilevel"/>
    <w:tmpl w:val="142638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D0909"/>
    <w:multiLevelType w:val="hybridMultilevel"/>
    <w:tmpl w:val="27E84570"/>
    <w:lvl w:ilvl="0" w:tplc="0415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ADC213E"/>
    <w:multiLevelType w:val="hybridMultilevel"/>
    <w:tmpl w:val="060A0D88"/>
    <w:lvl w:ilvl="0" w:tplc="EED03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45E54"/>
    <w:multiLevelType w:val="hybridMultilevel"/>
    <w:tmpl w:val="FB547A92"/>
    <w:lvl w:ilvl="0" w:tplc="CFB4A196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8A50BF"/>
    <w:multiLevelType w:val="hybridMultilevel"/>
    <w:tmpl w:val="F244CDA8"/>
    <w:lvl w:ilvl="0" w:tplc="CFB4A19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9D04C9"/>
    <w:multiLevelType w:val="hybridMultilevel"/>
    <w:tmpl w:val="AA80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3B88"/>
    <w:multiLevelType w:val="hybridMultilevel"/>
    <w:tmpl w:val="16366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072FB"/>
    <w:multiLevelType w:val="hybridMultilevel"/>
    <w:tmpl w:val="91D2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64DA0"/>
    <w:multiLevelType w:val="hybridMultilevel"/>
    <w:tmpl w:val="29425574"/>
    <w:lvl w:ilvl="0" w:tplc="9EEC4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D26D5"/>
    <w:multiLevelType w:val="hybridMultilevel"/>
    <w:tmpl w:val="2CF077C8"/>
    <w:lvl w:ilvl="0" w:tplc="526C5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745F4"/>
    <w:multiLevelType w:val="hybridMultilevel"/>
    <w:tmpl w:val="B13E3B8C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82D13"/>
    <w:multiLevelType w:val="hybridMultilevel"/>
    <w:tmpl w:val="952072F4"/>
    <w:lvl w:ilvl="0" w:tplc="737271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73AC5"/>
    <w:multiLevelType w:val="hybridMultilevel"/>
    <w:tmpl w:val="167E31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62320"/>
    <w:multiLevelType w:val="hybridMultilevel"/>
    <w:tmpl w:val="94A4E4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29B"/>
    <w:multiLevelType w:val="hybridMultilevel"/>
    <w:tmpl w:val="5A56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94054"/>
    <w:multiLevelType w:val="hybridMultilevel"/>
    <w:tmpl w:val="3A8ED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63BF"/>
    <w:multiLevelType w:val="hybridMultilevel"/>
    <w:tmpl w:val="E5B8851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FD43047"/>
    <w:multiLevelType w:val="hybridMultilevel"/>
    <w:tmpl w:val="8DCAFA80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145B7"/>
    <w:multiLevelType w:val="hybridMultilevel"/>
    <w:tmpl w:val="7E48F1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E6A64"/>
    <w:multiLevelType w:val="hybridMultilevel"/>
    <w:tmpl w:val="2E328A2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518FA"/>
    <w:multiLevelType w:val="hybridMultilevel"/>
    <w:tmpl w:val="9A56528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A8E49FC"/>
    <w:multiLevelType w:val="hybridMultilevel"/>
    <w:tmpl w:val="1B8E803E"/>
    <w:lvl w:ilvl="0" w:tplc="157EC3B0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 w15:restartNumberingAfterBreak="0">
    <w:nsid w:val="5C3E796F"/>
    <w:multiLevelType w:val="hybridMultilevel"/>
    <w:tmpl w:val="D048E78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E200B"/>
    <w:multiLevelType w:val="hybridMultilevel"/>
    <w:tmpl w:val="50BCD464"/>
    <w:lvl w:ilvl="0" w:tplc="9F7CF4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06E76"/>
    <w:multiLevelType w:val="hybridMultilevel"/>
    <w:tmpl w:val="ADB4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A4E64"/>
    <w:multiLevelType w:val="hybridMultilevel"/>
    <w:tmpl w:val="213A387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41B33"/>
    <w:multiLevelType w:val="hybridMultilevel"/>
    <w:tmpl w:val="564AA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57B11"/>
    <w:multiLevelType w:val="hybridMultilevel"/>
    <w:tmpl w:val="3788B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B167C"/>
    <w:multiLevelType w:val="hybridMultilevel"/>
    <w:tmpl w:val="E42C0AF6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9226E"/>
    <w:multiLevelType w:val="hybridMultilevel"/>
    <w:tmpl w:val="910A9A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B022E"/>
    <w:multiLevelType w:val="hybridMultilevel"/>
    <w:tmpl w:val="AE2C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B2CAE"/>
    <w:multiLevelType w:val="hybridMultilevel"/>
    <w:tmpl w:val="773EF2EC"/>
    <w:lvl w:ilvl="0" w:tplc="CFB4A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4144D"/>
    <w:multiLevelType w:val="hybridMultilevel"/>
    <w:tmpl w:val="7E1A0A56"/>
    <w:lvl w:ilvl="0" w:tplc="DF08B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71A7854"/>
    <w:multiLevelType w:val="hybridMultilevel"/>
    <w:tmpl w:val="D2664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81AF5"/>
    <w:multiLevelType w:val="hybridMultilevel"/>
    <w:tmpl w:val="4BA457A2"/>
    <w:lvl w:ilvl="0" w:tplc="90103FF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C13272C"/>
    <w:multiLevelType w:val="hybridMultilevel"/>
    <w:tmpl w:val="F57C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4919"/>
    <w:multiLevelType w:val="hybridMultilevel"/>
    <w:tmpl w:val="6282A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85123A"/>
    <w:multiLevelType w:val="hybridMultilevel"/>
    <w:tmpl w:val="E87C8F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7"/>
  </w:num>
  <w:num w:numId="3">
    <w:abstractNumId w:val="43"/>
  </w:num>
  <w:num w:numId="4">
    <w:abstractNumId w:val="20"/>
  </w:num>
  <w:num w:numId="5">
    <w:abstractNumId w:val="39"/>
  </w:num>
  <w:num w:numId="6">
    <w:abstractNumId w:val="19"/>
  </w:num>
  <w:num w:numId="7">
    <w:abstractNumId w:val="36"/>
  </w:num>
  <w:num w:numId="8">
    <w:abstractNumId w:val="8"/>
  </w:num>
  <w:num w:numId="9">
    <w:abstractNumId w:val="33"/>
  </w:num>
  <w:num w:numId="10">
    <w:abstractNumId w:val="18"/>
  </w:num>
  <w:num w:numId="11">
    <w:abstractNumId w:val="2"/>
  </w:num>
  <w:num w:numId="12">
    <w:abstractNumId w:val="15"/>
  </w:num>
  <w:num w:numId="13">
    <w:abstractNumId w:val="30"/>
  </w:num>
  <w:num w:numId="14">
    <w:abstractNumId w:val="7"/>
  </w:num>
  <w:num w:numId="15">
    <w:abstractNumId w:val="42"/>
  </w:num>
  <w:num w:numId="16">
    <w:abstractNumId w:val="4"/>
  </w:num>
  <w:num w:numId="17">
    <w:abstractNumId w:val="44"/>
  </w:num>
  <w:num w:numId="18">
    <w:abstractNumId w:val="34"/>
  </w:num>
  <w:num w:numId="19">
    <w:abstractNumId w:val="26"/>
  </w:num>
  <w:num w:numId="20">
    <w:abstractNumId w:val="0"/>
  </w:num>
  <w:num w:numId="21">
    <w:abstractNumId w:val="38"/>
  </w:num>
  <w:num w:numId="22">
    <w:abstractNumId w:val="10"/>
  </w:num>
  <w:num w:numId="23">
    <w:abstractNumId w:val="11"/>
  </w:num>
  <w:num w:numId="24">
    <w:abstractNumId w:val="23"/>
  </w:num>
  <w:num w:numId="25">
    <w:abstractNumId w:val="21"/>
  </w:num>
  <w:num w:numId="26">
    <w:abstractNumId w:val="28"/>
  </w:num>
  <w:num w:numId="27">
    <w:abstractNumId w:val="25"/>
  </w:num>
  <w:num w:numId="28">
    <w:abstractNumId w:val="9"/>
  </w:num>
  <w:num w:numId="29">
    <w:abstractNumId w:val="16"/>
  </w:num>
  <w:num w:numId="30">
    <w:abstractNumId w:val="14"/>
  </w:num>
  <w:num w:numId="31">
    <w:abstractNumId w:val="5"/>
  </w:num>
  <w:num w:numId="32">
    <w:abstractNumId w:val="22"/>
  </w:num>
  <w:num w:numId="33">
    <w:abstractNumId w:val="3"/>
  </w:num>
  <w:num w:numId="34">
    <w:abstractNumId w:val="12"/>
  </w:num>
  <w:num w:numId="35">
    <w:abstractNumId w:val="6"/>
  </w:num>
  <w:num w:numId="36">
    <w:abstractNumId w:val="1"/>
  </w:num>
  <w:num w:numId="37">
    <w:abstractNumId w:val="40"/>
  </w:num>
  <w:num w:numId="38">
    <w:abstractNumId w:val="37"/>
  </w:num>
  <w:num w:numId="39">
    <w:abstractNumId w:val="31"/>
  </w:num>
  <w:num w:numId="40">
    <w:abstractNumId w:val="35"/>
  </w:num>
  <w:num w:numId="41">
    <w:abstractNumId w:val="13"/>
  </w:num>
  <w:num w:numId="42">
    <w:abstractNumId w:val="32"/>
  </w:num>
  <w:num w:numId="43">
    <w:abstractNumId w:val="29"/>
  </w:num>
  <w:num w:numId="44">
    <w:abstractNumId w:val="17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D"/>
    <w:rsid w:val="0001744F"/>
    <w:rsid w:val="00026C0A"/>
    <w:rsid w:val="00030FAA"/>
    <w:rsid w:val="00035167"/>
    <w:rsid w:val="000F1682"/>
    <w:rsid w:val="001908DD"/>
    <w:rsid w:val="001C1008"/>
    <w:rsid w:val="002351DC"/>
    <w:rsid w:val="00291F6F"/>
    <w:rsid w:val="0029698D"/>
    <w:rsid w:val="002C0584"/>
    <w:rsid w:val="00332E9D"/>
    <w:rsid w:val="003D5A42"/>
    <w:rsid w:val="003D639A"/>
    <w:rsid w:val="004920C1"/>
    <w:rsid w:val="00496BB9"/>
    <w:rsid w:val="004C5642"/>
    <w:rsid w:val="004F239B"/>
    <w:rsid w:val="00506780"/>
    <w:rsid w:val="00515FE4"/>
    <w:rsid w:val="005912A9"/>
    <w:rsid w:val="005B2EB5"/>
    <w:rsid w:val="005C6F6D"/>
    <w:rsid w:val="005F293A"/>
    <w:rsid w:val="00641C23"/>
    <w:rsid w:val="006619F9"/>
    <w:rsid w:val="006F777C"/>
    <w:rsid w:val="007051C8"/>
    <w:rsid w:val="007110A4"/>
    <w:rsid w:val="00763B04"/>
    <w:rsid w:val="00774D45"/>
    <w:rsid w:val="00780274"/>
    <w:rsid w:val="00783470"/>
    <w:rsid w:val="00871378"/>
    <w:rsid w:val="00885B48"/>
    <w:rsid w:val="0090663C"/>
    <w:rsid w:val="00944261"/>
    <w:rsid w:val="00994F5F"/>
    <w:rsid w:val="009B28F6"/>
    <w:rsid w:val="009B2DAB"/>
    <w:rsid w:val="00A17971"/>
    <w:rsid w:val="00A44662"/>
    <w:rsid w:val="00A56547"/>
    <w:rsid w:val="00A7612E"/>
    <w:rsid w:val="00AA2BE6"/>
    <w:rsid w:val="00AA7FFA"/>
    <w:rsid w:val="00AB69E2"/>
    <w:rsid w:val="00B23438"/>
    <w:rsid w:val="00B37E57"/>
    <w:rsid w:val="00B83660"/>
    <w:rsid w:val="00B86773"/>
    <w:rsid w:val="00B87E01"/>
    <w:rsid w:val="00B9639C"/>
    <w:rsid w:val="00C52EE8"/>
    <w:rsid w:val="00C779A2"/>
    <w:rsid w:val="00CE1979"/>
    <w:rsid w:val="00DB45D2"/>
    <w:rsid w:val="00DC03B4"/>
    <w:rsid w:val="00DC45C0"/>
    <w:rsid w:val="00DD6D15"/>
    <w:rsid w:val="00DF0629"/>
    <w:rsid w:val="00E22EF0"/>
    <w:rsid w:val="00E4739E"/>
    <w:rsid w:val="00ED7F82"/>
    <w:rsid w:val="00F30D91"/>
    <w:rsid w:val="00F940B8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1E06"/>
  <w15:chartTrackingRefBased/>
  <w15:docId w15:val="{AB8B2A13-5AF2-4203-B82F-52ABA31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F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F6D"/>
    <w:pPr>
      <w:ind w:left="720"/>
      <w:contextualSpacing/>
    </w:pPr>
  </w:style>
  <w:style w:type="table" w:styleId="Tabela-Siatka">
    <w:name w:val="Table Grid"/>
    <w:basedOn w:val="Standardowy"/>
    <w:uiPriority w:val="39"/>
    <w:rsid w:val="0059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17971"/>
    <w:rPr>
      <w:b/>
      <w:bCs/>
    </w:rPr>
  </w:style>
  <w:style w:type="paragraph" w:customStyle="1" w:styleId="Default">
    <w:name w:val="Default"/>
    <w:rsid w:val="00035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7802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F9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2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channel=entpr&amp;q=Stwierdzenie+niewa%C5%BCno%C5%9Bci+decyzji&amp;mstk=AUtExfCJXZZ8HHoQbKPwrRIXxt2n09379j4Z0OCaacV7fR8_dO1-mE6LJCqEg8RqroINua58AaJodfj879F4d1d8UT_NZ8POGo8XuiVGryuj82XRXqklcvduJqK1eI24uYbRsdk&amp;csui=3&amp;ved=2ahUKEwjH4Kz70seTAxXzEBAIHe3-BHgQgK4QegQIChA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64</cp:revision>
  <cp:lastPrinted>2025-07-31T08:46:00Z</cp:lastPrinted>
  <dcterms:created xsi:type="dcterms:W3CDTF">2024-07-22T12:16:00Z</dcterms:created>
  <dcterms:modified xsi:type="dcterms:W3CDTF">2026-04-03T06:23:00Z</dcterms:modified>
</cp:coreProperties>
</file>